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 xml:space="preserve">Обоснование указания на конкретный товарный знак (производителя)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rPr>
          <w:sz w:val="24"/>
          <w:szCs w:val="24"/>
        </w:rPr>
      </w:pPr>
      <w:r>
        <w:rPr>
          <w:sz w:val="24"/>
          <w:szCs w:val="24"/>
        </w:rPr>
        <w:t>без применения слов «или эквивалент»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bookmarkStart w:id="0" w:name="_Ref512279441"/>
      <w:r>
        <w:rPr>
          <w:b w:val="false"/>
          <w:sz w:val="22"/>
          <w:szCs w:val="22"/>
        </w:rPr>
        <w:tab/>
        <w:t>При подготовке технических требований к закупаемой продукции в описании характеристик предмета закупки Заказчиком использованы указания на товарный знак без указания слов «(или эквивалент)»</w:t>
      </w:r>
      <w:bookmarkEnd w:id="0"/>
      <w:r>
        <w:rPr>
          <w:b w:val="false"/>
          <w:sz w:val="22"/>
          <w:szCs w:val="22"/>
        </w:rPr>
        <w:t xml:space="preserve"> на основании п.п. 6.5.1.3 а), 6.5.1.4 ЕПоЗ в связи с закупкой товара с целью его перепродажи. 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ab/>
        <w:t>Использование продукции с такими товарными знаками предусмотрено обязательными для Заказчика условиями  Договора №4-РЕМ-2023-ВотГЭС от 31.10.2023г. «Капитальный и текущий ремонт оборудования, зданий и сооружений Воткинской ГЭС», заключенного между филиалом ПАО «РусГидро» - «Воткинская ГЭС» и Воткинским филиалом АО «Гидроремонт-ВКК, договора возмездного оказания услуг №ЭКСП-БПД-2027-ВотГЭС, заключенного между филиалом ПАО «РусГидро» – «Воткинская ГЭС» и Воткинским филиалом АО «Гидроремонт-ВКК» .</w:t>
        <w:tab/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2"/>
          <w:szCs w:val="22"/>
        </w:rPr>
      </w:pPr>
      <w:r>
        <w:rPr>
          <w:b w:val="false"/>
          <w:sz w:val="22"/>
          <w:szCs w:val="22"/>
        </w:rPr>
        <w:t xml:space="preserve">    </w:t>
      </w:r>
      <w:r>
        <w:rPr>
          <w:b w:val="false"/>
          <w:sz w:val="22"/>
          <w:szCs w:val="22"/>
        </w:rPr>
        <w:t>Ниже представлен перечень приложений к Доходному договору, в котором содержатся указания на такие товарные знаки, а также указание на раздел (пункт) технических требований, в котором указаны требования к товарному знаку.</w:t>
      </w:r>
    </w:p>
    <w:p>
      <w:pPr>
        <w:pStyle w:val="12"/>
        <w:numPr>
          <w:ilvl w:val="0"/>
          <w:numId w:val="0"/>
        </w:numPr>
        <w:tabs>
          <w:tab w:val="clear" w:pos="708"/>
          <w:tab w:val="left" w:pos="1418" w:leader="none"/>
        </w:tabs>
        <w:spacing w:lineRule="auto" w:line="240" w:before="0" w:after="0"/>
        <w:ind w:left="288" w:hanging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tbl>
      <w:tblPr>
        <w:tblW w:w="14363" w:type="dxa"/>
        <w:jc w:val="left"/>
        <w:tblInd w:w="3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868"/>
        <w:gridCol w:w="2955"/>
        <w:gridCol w:w="2831"/>
        <w:gridCol w:w="1845"/>
        <w:gridCol w:w="4864"/>
      </w:tblGrid>
      <w:tr>
        <w:trPr>
          <w:trHeight w:val="852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r>
              <w:rPr>
                <w:color w:val="000000"/>
                <w:sz w:val="22"/>
                <w:szCs w:val="22"/>
              </w:rPr>
              <w:t>позиции в Технических требованиях (спецификации)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продукции (материала)</w:t>
            </w:r>
          </w:p>
        </w:tc>
        <w:tc>
          <w:tcPr>
            <w:tcW w:w="46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Сведения о документе, в котором содержится указание на товарный знак (производителя) продукции (материала)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Отношение такого документа к доходному договору (чем введен, утвержден)</w:t>
            </w:r>
          </w:p>
        </w:tc>
      </w:tr>
      <w:tr>
        <w:trPr>
          <w:trHeight w:val="28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83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4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</w:tr>
      <w:tr>
        <w:trPr>
          <w:trHeight w:val="1628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Финишная краска PRIM URETAN Coat PN (ПРИМ УРЕТАН БС), цвет желтый RAL 1028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мостового крана г/п 50/10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1.3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к договору № -ЭКСП-БПД-2027-ВотГЭС </w:t>
            </w:r>
          </w:p>
        </w:tc>
      </w:tr>
      <w:tr>
        <w:trPr>
          <w:trHeight w:val="1390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2х20 №2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1.1.4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90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2х20 №1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1.4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90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Текущий ремонт козлового  крана г/п 2х125 ВП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1.29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90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Текущий ремонт полукозлового  крана г/п 2х150 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1.4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98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Финишная краска PRIM URETAN Coat PN (ПРИМ УРЕТАН БС), цвет красный RAL3001</w:t>
            </w:r>
          </w:p>
        </w:tc>
        <w:tc>
          <w:tcPr>
            <w:tcW w:w="2831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2х125 ВП</w:t>
            </w:r>
          </w:p>
        </w:tc>
        <w:tc>
          <w:tcPr>
            <w:tcW w:w="1845" w:type="dxa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1.30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 -ЭКСП-БПД-2027-ВотГЭС</w:t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2х63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1.2</w:t>
            </w:r>
          </w:p>
        </w:tc>
        <w:tc>
          <w:tcPr>
            <w:tcW w:w="486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полукозлового  крана г/п 2х150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1.3</w:t>
            </w:r>
          </w:p>
        </w:tc>
        <w:tc>
          <w:tcPr>
            <w:tcW w:w="486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298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Растворитель</w:t>
            </w:r>
            <w:r>
              <w:rPr>
                <w:sz w:val="22"/>
                <w:szCs w:val="22"/>
                <w:lang w:val="en-US"/>
              </w:rPr>
              <w:t xml:space="preserve"> PRIM R 04 (</w:t>
            </w:r>
            <w:r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УР</w:t>
            </w:r>
            <w:r>
              <w:rPr>
                <w:sz w:val="22"/>
                <w:szCs w:val="22"/>
                <w:lang w:val="en-US"/>
              </w:rPr>
              <w:t>) (</w:t>
            </w:r>
            <w:r>
              <w:rPr>
                <w:sz w:val="22"/>
                <w:szCs w:val="22"/>
              </w:rPr>
              <w:t>для</w:t>
            </w:r>
            <w:r>
              <w:rPr>
                <w:sz w:val="22"/>
                <w:szCs w:val="22"/>
                <w:lang w:val="en-US"/>
              </w:rPr>
              <w:t xml:space="preserve"> PRIM URETAN Coat PN)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мостового крана г/п 50/10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1.18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 -ЭКСП-БПД-2027-ВотГЭС</w:t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2х20 №2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1.1.5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2х20 №1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1.5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2х125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1.33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ВОР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козлового  крана г/п 2х63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1, п. 1.3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644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ВОР,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Текущий ремонт полукозлового  крана г/п 2х150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Лист 2, п. 1.18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13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 защитный PRIM PROMCOR Multicoat PN (ПРИМ ПРОМКОР), цвет белый RAL 9003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3745911. Земляная плотина №2. Текущий ремонт.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п.1.25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2026" w:hRule="atLeast"/>
        </w:trPr>
        <w:tc>
          <w:tcPr>
            <w:tcW w:w="1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5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Материал защитный PRIM PROMCOR Multicoat PN (ПРИМ ПРОМКОР), цвет черный RAL 9004 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3745950. Здание ГЭС в створе напорных сооружений. Текущий ремонт контурной шпонки.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1,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10</w:t>
            </w:r>
            <w:r>
              <w:rPr>
                <w:color w:val="000000"/>
                <w:sz w:val="22"/>
                <w:szCs w:val="22"/>
                <w:shd w:fill="auto" w:val="clear"/>
              </w:rPr>
              <w:t xml:space="preserve"> </w:t>
            </w:r>
          </w:p>
        </w:tc>
        <w:tc>
          <w:tcPr>
            <w:tcW w:w="48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2026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3747527.  Здание ГЭС в створе напорных сооружений гидроула Текущий ремонт металлоконструкций переходных мостиков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5, п.4.31, 4.18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5, п.1.1.2.5.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  <w:lang w:val="en-US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154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РЗ№ 3745621.Здание ГЭС в створе напорных сооружений гидроузла. Текущий ремонт производственных помещений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, бойлерной отм.81,0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sz w:val="22"/>
                <w:szCs w:val="22"/>
                <w:shd w:fill="auto" w:val="clear"/>
                <w:lang w:val="en-US"/>
              </w:rPr>
              <w:t>2</w:t>
            </w:r>
            <w:r>
              <w:rPr>
                <w:sz w:val="22"/>
                <w:szCs w:val="22"/>
                <w:shd w:fill="auto" w:val="clear"/>
              </w:rPr>
              <w:t xml:space="preserve"> п. </w:t>
            </w:r>
            <w:r>
              <w:rPr>
                <w:sz w:val="22"/>
                <w:szCs w:val="22"/>
                <w:shd w:fill="auto" w:val="clear"/>
                <w:lang w:val="en-US"/>
              </w:rPr>
              <w:t>2.2.9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154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3745911. Земляная плотина №2. Текущий ремонт.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п.1.21, п 1.25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1548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3745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535</w:t>
            </w:r>
            <w:r>
              <w:rPr>
                <w:bCs/>
                <w:color w:val="000000"/>
                <w:sz w:val="22"/>
                <w:szCs w:val="22"/>
                <w:shd w:fill="auto" w:val="clear"/>
              </w:rPr>
              <w:t>. Земляная плотина №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3</w:t>
            </w:r>
            <w:r>
              <w:rPr>
                <w:bCs/>
                <w:color w:val="000000"/>
                <w:sz w:val="22"/>
                <w:szCs w:val="22"/>
                <w:shd w:fill="auto" w:val="clear"/>
              </w:rPr>
              <w:t>. Текущий ремонт.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15, п.1.16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555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Грунт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эмаль</w:t>
            </w:r>
            <w:r>
              <w:rPr>
                <w:sz w:val="22"/>
                <w:szCs w:val="22"/>
                <w:lang w:val="en-US"/>
              </w:rPr>
              <w:t xml:space="preserve"> PRIM PROMCOR Multicoat PN (</w:t>
            </w:r>
            <w:r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ПРОМКОР</w:t>
            </w:r>
            <w:r>
              <w:rPr>
                <w:sz w:val="22"/>
                <w:szCs w:val="22"/>
                <w:lang w:val="en-US"/>
              </w:rPr>
              <w:t xml:space="preserve">), </w:t>
            </w:r>
            <w:r>
              <w:rPr>
                <w:sz w:val="22"/>
                <w:szCs w:val="22"/>
              </w:rPr>
              <w:t>цвет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серебристый</w:t>
            </w:r>
            <w:r>
              <w:rPr>
                <w:sz w:val="22"/>
                <w:szCs w:val="22"/>
                <w:lang w:val="en-US"/>
              </w:rPr>
              <w:t xml:space="preserve"> RAL 9006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3709849 Здание ГЭС в створе напорного гидроузла. Текущий ремонт фасада со стороны верхнего бьефа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,</w:t>
            </w:r>
            <w:r>
              <w:rPr>
                <w:color w:val="000000"/>
                <w:sz w:val="22"/>
                <w:szCs w:val="22"/>
                <w:shd w:fill="auto" w:val="clear"/>
              </w:rPr>
              <w:t xml:space="preserve"> п.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1.13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2783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3735756. Строительная часть распределительного устройства 220кВ. Текущий ремонт высокочастотных заградителей, системы мониторинга ОПН распределительного устройства 220кВ Воткинской ГЭС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п.1.1.12, п.1.2.14,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3, п 1.3.12,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4, п.1.4.12,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5, п.1.5.12,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6, п.1.6.12,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6, п.1.7.12,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7, п.1.8.12,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8, п.1.9.12.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1952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Растворитель PRIM R 06 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3735756. Строительная часть распределительного устройства 220кВ. Текущий ремонт высокочастотных заградителей, системы мониторинга ОПН распределительного устройства 220кВ Воткинской ГЭС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п.1.1.14, п.1.2.14,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3, п.1.3.14,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4, п 1.4.14,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5, п.1.5.14,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6, п.1.6.14,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6, п.1.7.14,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7, п.1.8.14,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8, п.1.9.14.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1843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 xml:space="preserve">ВОР, РЗ №3749451. Здание ГЭС в створе напорного гидроузла. 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Текущий ремонт кровли.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п.1.1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9</w:t>
            </w:r>
            <w:r>
              <w:rPr>
                <w:color w:val="000000"/>
                <w:sz w:val="22"/>
                <w:szCs w:val="22"/>
                <w:shd w:fill="auto" w:val="clear"/>
              </w:rPr>
              <w:t>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3, п.1.45</w:t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1843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3747527. Текущий ремонт (АКЗ) металлоконструкций здания ГЭС в створе напорных сооружений гидроула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1,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3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921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Грунт-эмаль </w:t>
            </w:r>
            <w:r>
              <w:rPr>
                <w:sz w:val="22"/>
                <w:szCs w:val="22"/>
                <w:lang w:val="en-US"/>
              </w:rPr>
              <w:t>PRIM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PROMCOR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Multicoat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PN</w:t>
            </w:r>
            <w:r>
              <w:rPr>
                <w:sz w:val="22"/>
                <w:szCs w:val="22"/>
              </w:rPr>
              <w:t xml:space="preserve"> (ПРИМ ПРОМКОР), цвет серый </w:t>
            </w:r>
            <w:r>
              <w:rPr>
                <w:sz w:val="22"/>
                <w:szCs w:val="22"/>
                <w:lang w:val="en-US"/>
              </w:rPr>
              <w:t>RAL</w:t>
            </w:r>
            <w:r>
              <w:rPr>
                <w:sz w:val="22"/>
                <w:szCs w:val="22"/>
              </w:rPr>
              <w:t xml:space="preserve"> 7040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 xml:space="preserve">ВОР, РЗ №3749451. Здание ГЭС в створе напорного гидроузла. 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Текущий ремонт кровли.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20</w:t>
            </w:r>
            <w:r>
              <w:rPr>
                <w:color w:val="000000"/>
                <w:sz w:val="22"/>
                <w:szCs w:val="22"/>
                <w:shd w:fill="auto" w:val="clear"/>
              </w:rPr>
              <w:t>,</w:t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Приложение к договору №4-РЕМ-2023-ВотГЭС от 31.10.2023</w:t>
            </w:r>
          </w:p>
        </w:tc>
      </w:tr>
      <w:tr>
        <w:trPr>
          <w:trHeight w:val="921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№37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47361</w:t>
            </w:r>
            <w:r>
              <w:rPr>
                <w:bCs/>
                <w:color w:val="000000"/>
                <w:sz w:val="22"/>
                <w:szCs w:val="22"/>
                <w:shd w:fill="auto" w:val="clear"/>
              </w:rPr>
              <w:t>. Здание ГЭС в створе напорного гидроузла. Текущий ремонт подкрановых балок ЩОВБ здания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shd w:fill="auto" w:val="clear"/>
              </w:rPr>
              <w:t>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10</w:t>
            </w:r>
            <w:r>
              <w:rPr>
                <w:color w:val="000000"/>
                <w:sz w:val="22"/>
                <w:szCs w:val="22"/>
                <w:shd w:fill="auto" w:val="clear"/>
              </w:rPr>
              <w:t>,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921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ВОР, РЗ 3747527.  Здание ГЭС в створе напорных сооружений гидроула Текущий ремонт металлоконструкций переходных мостиков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Лист 2, п.1.14, 1.15, лист 5 п. 4.19, 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952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Грунт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эмаль</w:t>
            </w:r>
            <w:r>
              <w:rPr>
                <w:sz w:val="22"/>
                <w:szCs w:val="22"/>
                <w:lang w:val="en-US"/>
              </w:rPr>
              <w:t xml:space="preserve"> PRIM PROMCOR Multicoat PN (</w:t>
            </w:r>
            <w:r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ПРОМКОР</w:t>
            </w:r>
            <w:r>
              <w:rPr>
                <w:sz w:val="22"/>
                <w:szCs w:val="22"/>
                <w:lang w:val="en-US"/>
              </w:rPr>
              <w:t xml:space="preserve">), </w:t>
            </w:r>
            <w:r>
              <w:rPr>
                <w:sz w:val="22"/>
                <w:szCs w:val="22"/>
              </w:rPr>
              <w:t>цвет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серый</w:t>
            </w:r>
            <w:r>
              <w:rPr>
                <w:sz w:val="22"/>
                <w:szCs w:val="22"/>
                <w:lang w:val="en-US"/>
              </w:rPr>
              <w:t xml:space="preserve"> RAL 7042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3747527. Текущий ремонт (АКЗ) металлоконструкций здания ГЭС в створе напорных сооружений гидроула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1,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5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4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644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Грунт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эмаль</w:t>
            </w:r>
            <w:r>
              <w:rPr>
                <w:sz w:val="22"/>
                <w:szCs w:val="22"/>
                <w:lang w:val="en-US"/>
              </w:rPr>
              <w:t xml:space="preserve"> PRIM PROMCOR Multicoat PN (</w:t>
            </w:r>
            <w:r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ПРОМКОР</w:t>
            </w:r>
            <w:r>
              <w:rPr>
                <w:sz w:val="22"/>
                <w:szCs w:val="22"/>
                <w:lang w:val="en-US"/>
              </w:rPr>
              <w:t xml:space="preserve">), </w:t>
            </w:r>
            <w:r>
              <w:rPr>
                <w:sz w:val="22"/>
                <w:szCs w:val="22"/>
              </w:rPr>
              <w:t>цвет</w:t>
            </w:r>
            <w:r>
              <w:rPr>
                <w:sz w:val="22"/>
                <w:szCs w:val="22"/>
                <w:lang w:val="en-US"/>
              </w:rPr>
              <w:t xml:space="preserve"> синий RAL 5010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 xml:space="preserve">ВОР, РЗ №3749451. Здание ГЭС в створе напорного гидроузла. 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Текущий ремонт кровли.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Лист 3, п.1.46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758" w:hRule="atLeast"/>
        </w:trPr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55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Грунт-эмаль </w:t>
            </w:r>
            <w:r>
              <w:rPr>
                <w:sz w:val="22"/>
                <w:szCs w:val="22"/>
                <w:lang w:val="en-US"/>
              </w:rPr>
              <w:t>PRIM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PROMCOR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Multicoat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PN</w:t>
            </w:r>
            <w:r>
              <w:rPr>
                <w:sz w:val="22"/>
                <w:szCs w:val="22"/>
              </w:rPr>
              <w:t xml:space="preserve"> (ПРИМ ПРОМКОР), цвет желтый </w:t>
            </w:r>
            <w:r>
              <w:rPr>
                <w:sz w:val="22"/>
                <w:szCs w:val="22"/>
                <w:lang w:val="en-US"/>
              </w:rPr>
              <w:t>RAL</w:t>
            </w:r>
            <w:r>
              <w:rPr>
                <w:sz w:val="22"/>
                <w:szCs w:val="22"/>
              </w:rPr>
              <w:t xml:space="preserve"> 1003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3747527. Текущий ремонт (АКЗ) металлоконструкций здания ГЭС в створе напорных сооружений гидроула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1,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5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486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  <w:tr>
        <w:trPr>
          <w:trHeight w:val="1856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РЗ№ 3745621.Здание ГЭС в створе напорных сооружений гидроузла. Текущий ремонт производственных помещений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, бойлерной отм.81,0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sz w:val="22"/>
                <w:szCs w:val="22"/>
                <w:shd w:fill="auto" w:val="clear"/>
                <w:lang w:val="en-US"/>
              </w:rPr>
              <w:t>2</w:t>
            </w:r>
            <w:r>
              <w:rPr>
                <w:sz w:val="22"/>
                <w:szCs w:val="22"/>
                <w:shd w:fill="auto" w:val="clear"/>
              </w:rPr>
              <w:t xml:space="preserve"> п. </w:t>
            </w:r>
            <w:r>
              <w:rPr>
                <w:sz w:val="22"/>
                <w:szCs w:val="22"/>
                <w:shd w:fill="auto" w:val="clear"/>
                <w:lang w:val="en-US"/>
              </w:rPr>
              <w:t>2.2.10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856" w:hRule="atLeast"/>
        </w:trPr>
        <w:tc>
          <w:tcPr>
            <w:tcW w:w="18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55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>ВОР, РЗ 3747527.  Здание ГЭС в створе напорных сооружений гидроула Текущий ремонт металлоконструкций переходных мостиков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 </w:t>
            </w:r>
            <w:r>
              <w:rPr>
                <w:sz w:val="22"/>
                <w:szCs w:val="22"/>
                <w:shd w:fill="auto" w:val="clear"/>
              </w:rPr>
              <w:t xml:space="preserve">лист 5 п. 4.20 </w:t>
            </w:r>
          </w:p>
        </w:tc>
        <w:tc>
          <w:tcPr>
            <w:tcW w:w="48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290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Грунт</w:t>
            </w:r>
            <w:r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</w:rPr>
              <w:t>эмаль</w:t>
            </w:r>
            <w:r>
              <w:rPr>
                <w:sz w:val="22"/>
                <w:szCs w:val="22"/>
                <w:lang w:val="en-US"/>
              </w:rPr>
              <w:t xml:space="preserve"> PRIM PROMCOR Multicoat PN (</w:t>
            </w:r>
            <w:r>
              <w:rPr>
                <w:sz w:val="22"/>
                <w:szCs w:val="22"/>
              </w:rPr>
              <w:t>ПРИМ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ПРОМКОР</w:t>
            </w:r>
            <w:r>
              <w:rPr>
                <w:sz w:val="22"/>
                <w:szCs w:val="22"/>
                <w:lang w:val="en-US"/>
              </w:rPr>
              <w:t xml:space="preserve">), </w:t>
            </w:r>
            <w:r>
              <w:rPr>
                <w:sz w:val="22"/>
                <w:szCs w:val="22"/>
              </w:rPr>
              <w:t>цвет</w:t>
            </w:r>
            <w:r>
              <w:rPr>
                <w:sz w:val="22"/>
                <w:szCs w:val="22"/>
                <w:lang w:val="en-US"/>
              </w:rPr>
              <w:t xml:space="preserve"> зеленый RAL 6032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РЗ№ 3745621.Здание ГЭС в створе напорных сооружений гидроузла. Текущий ремонт производственных помещений</w:t>
            </w:r>
            <w:r>
              <w:rPr>
                <w:bCs/>
                <w:color w:val="000000"/>
                <w:sz w:val="22"/>
                <w:szCs w:val="22"/>
                <w:shd w:fill="auto" w:val="clear"/>
                <w:lang w:val="en-US"/>
              </w:rPr>
              <w:t>, бойлерной отм.81,0 Воткинской ГЭС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sz w:val="22"/>
                <w:szCs w:val="22"/>
                <w:shd w:fill="auto" w:val="clear"/>
                <w:lang w:val="en-US"/>
              </w:rPr>
              <w:t>2</w:t>
            </w:r>
            <w:r>
              <w:rPr>
                <w:sz w:val="22"/>
                <w:szCs w:val="22"/>
                <w:shd w:fill="auto" w:val="clear"/>
              </w:rPr>
              <w:t xml:space="preserve"> п. </w:t>
            </w:r>
            <w:r>
              <w:rPr>
                <w:sz w:val="22"/>
                <w:szCs w:val="22"/>
                <w:shd w:fill="auto" w:val="clear"/>
                <w:lang w:val="en-US"/>
              </w:rPr>
              <w:t>2.2.1</w:t>
            </w:r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№1-ТО-БПД-2024-ВотГЭС от 04.12.2023г</w:t>
            </w:r>
          </w:p>
        </w:tc>
      </w:tr>
      <w:tr>
        <w:trPr>
          <w:trHeight w:val="502" w:hRule="atLeast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Растворитель PRIM R 02 (ПРИМ КС) 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  <w:t>ВОР, РЗ 3735756. Строительная часть распределительного устройства 220кВ. Текущий ремонт высокочастотных заградителей, системы мониторинга ОПН распределительного устройства 220кВ Воткинской ГЭС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2, п.1.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1.13, п.1.2.13,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3, п.1.3.13,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4, п.1.4.13,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5, п.1.5.13,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6, п.1.6.13,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6, п.1.7.13,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>Лист 7, п.1.8.13,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highlight w:val="none"/>
                <w:shd w:fill="auto" w:val="clear"/>
              </w:rPr>
            </w:pPr>
            <w:r>
              <w:rPr>
                <w:color w:val="000000"/>
                <w:sz w:val="22"/>
                <w:szCs w:val="22"/>
                <w:shd w:fill="auto" w:val="clear"/>
              </w:rPr>
              <w:t xml:space="preserve">Лист </w:t>
            </w: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  <w:t>7</w:t>
            </w:r>
            <w:r>
              <w:rPr>
                <w:color w:val="000000"/>
                <w:sz w:val="22"/>
                <w:szCs w:val="22"/>
                <w:shd w:fill="auto" w:val="clear"/>
              </w:rPr>
              <w:t>, п.1.9.13.</w:t>
            </w:r>
            <w:bookmarkStart w:id="1" w:name="_GoBack"/>
            <w:bookmarkEnd w:id="1"/>
          </w:p>
        </w:tc>
        <w:tc>
          <w:tcPr>
            <w:tcW w:w="48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к договору №4-РЕМ-2023-ВотГЭС от 31.10.2023</w:t>
            </w:r>
          </w:p>
        </w:tc>
      </w:tr>
    </w:tbl>
    <w:p>
      <w:pPr>
        <w:pStyle w:val="Normal"/>
        <w:spacing w:lineRule="auto" w:line="240"/>
        <w:rPr>
          <w:rFonts w:ascii="Calibri" w:hAnsi="Calibri" w:asciiTheme="minorHAnsi" w:hAnsiTheme="minorHAnsi"/>
          <w:sz w:val="24"/>
          <w:szCs w:val="24"/>
        </w:rPr>
      </w:pPr>
      <w:r>
        <w:rPr>
          <w:rFonts w:asciiTheme="minorHAnsi" w:hAnsiTheme="minorHAnsi" w:ascii="Calibri" w:hAnsi="Calibri"/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  <w:t xml:space="preserve">Приложения: 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ВОР, </w:t>
      </w:r>
      <w:r>
        <w:rPr>
          <w:rFonts w:ascii="Times New Roman" w:hAnsi="Times New Roman"/>
          <w:sz w:val="22"/>
          <w:szCs w:val="22"/>
          <w:lang w:eastAsia="ru-RU"/>
        </w:rPr>
        <w:t>Текущий ремонт механической части мостового крана г/п 50/10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ВОР, Текущий ремонт механической части козлового крана г/п 2х20 №2;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ВОР, Текущий ремонт механической части козлового крана г/п 2х20 №1;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ВОР, Текущий ремонт механической части козлового крана г/п 2х125;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ВОР,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Текущий ремонт механической части полукозлового крана г/п 2х150;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sz w:val="22"/>
          <w:szCs w:val="22"/>
          <w:lang w:eastAsia="ru-RU"/>
        </w:rPr>
      </w:pPr>
      <w:r>
        <w:rPr>
          <w:rFonts w:ascii="Times New Roman" w:hAnsi="Times New Roman"/>
          <w:sz w:val="22"/>
          <w:szCs w:val="22"/>
          <w:lang w:eastAsia="ru-RU"/>
        </w:rPr>
        <w:t>ВОР, Текущий ремонт механической части козлового крана г/п 2х63;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3735756. Строительная часть распределительного устройства 220кВ. Текущий ремонт высокочастотных заградителей, системы мониторинга ОПН распределительного устройства 220кВ Воткинской ГЭС;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ВОР, РЗ 3747527. Текущий ремонт (АКЗ) металлоконструкций здания ГЭС в створе напорных сооружений гидроула Воткинской ГЭС; 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3709849 Здание ГЭС в створе напорного гидроузла. Текущий ремонт фасада со стороны верхнего бьефа;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3745950. Здание ГЭС в створе напорных сооружений. Текущий ремонт контурной шпонки</w:t>
      </w:r>
      <w:r>
        <w:rPr>
          <w:rFonts w:ascii="Times New Roman" w:hAnsi="Times New Roman"/>
          <w:bCs/>
          <w:color w:val="000000"/>
          <w:sz w:val="22"/>
          <w:szCs w:val="22"/>
          <w:lang w:val="en-US"/>
        </w:rPr>
        <w:t>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ВОР, РЗ 3747527.  Здание ГЭС в створе напорных сооружений гидроула Текущий ремонт металлоконструкций переходных мостиков; 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№3749451. Здание ГЭС в створе напорного гидроузла. Текущий ремонт кровли</w:t>
      </w:r>
      <w:r>
        <w:rPr>
          <w:rFonts w:ascii="Times New Roman" w:hAnsi="Times New Roman"/>
          <w:bCs/>
          <w:color w:val="000000"/>
          <w:sz w:val="22"/>
          <w:szCs w:val="22"/>
          <w:lang w:val="en-US"/>
        </w:rPr>
        <w:t>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РЗ№ 3745621.Здание ГЭС в створе напорных сооружений гидроузла. Текущий ремонт производственных помещений, бойлерной отм.81,0 Воткинской ГЭС</w:t>
      </w:r>
      <w:r>
        <w:rPr>
          <w:rFonts w:ascii="Times New Roman" w:hAnsi="Times New Roman"/>
          <w:bCs/>
          <w:color w:val="000000"/>
          <w:sz w:val="22"/>
          <w:szCs w:val="22"/>
          <w:lang w:val="en-US"/>
        </w:rPr>
        <w:t>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№3747361. Здание ГЭС в створе напорного гидроузла. Текущий ремонт подкрановых балок ЩОВБ здания ГЭС;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3745911. Земляная плотина №2. Текущий ремонт</w:t>
      </w:r>
      <w:r>
        <w:rPr>
          <w:rFonts w:ascii="Times New Roman" w:hAnsi="Times New Roman"/>
          <w:bCs/>
          <w:color w:val="000000"/>
          <w:sz w:val="22"/>
          <w:szCs w:val="22"/>
          <w:lang w:val="en-US"/>
        </w:rPr>
        <w:t>;</w:t>
      </w:r>
    </w:p>
    <w:p>
      <w:pPr>
        <w:pStyle w:val="ListParagraph"/>
        <w:numPr>
          <w:ilvl w:val="0"/>
          <w:numId w:val="4"/>
        </w:numPr>
        <w:spacing w:lineRule="auto" w:line="24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>ВОР, РЗ 3745535. Земляная плотина №3. Текущий ремонт.</w:t>
      </w:r>
    </w:p>
    <w:p>
      <w:pPr>
        <w:pStyle w:val="ListParagraph"/>
        <w:spacing w:lineRule="auto" w:line="240"/>
        <w:ind w:left="1211" w:hanging="0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</w:r>
    </w:p>
    <w:p>
      <w:pPr>
        <w:pStyle w:val="Normal"/>
        <w:spacing w:lineRule="auto" w:line="240"/>
        <w:ind w:hanging="0"/>
        <w:rPr/>
      </w:pPr>
      <w:r>
        <w:rPr/>
        <w:t xml:space="preserve"> </w:t>
      </w:r>
    </w:p>
    <w:p>
      <w:pPr>
        <w:pStyle w:val="Normal"/>
        <w:spacing w:lineRule="auto" w:line="240"/>
        <w:ind w:hanging="0"/>
        <w:rPr/>
      </w:pPr>
      <w:r>
        <w:rPr/>
      </w:r>
    </w:p>
    <w:p>
      <w:pPr>
        <w:pStyle w:val="Normal"/>
        <w:spacing w:lineRule="auto" w:line="240"/>
        <w:ind w:hanging="0"/>
        <w:rPr/>
      </w:pPr>
      <w:r>
        <w:rPr/>
      </w:r>
    </w:p>
    <w:p>
      <w:pPr>
        <w:pStyle w:val="Normal"/>
        <w:spacing w:lineRule="auto" w:line="240"/>
        <w:ind w:hanging="0"/>
        <w:rPr>
          <w:lang w:val="en-US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>
        <w:rPr>
          <w:sz w:val="24"/>
          <w:szCs w:val="24"/>
        </w:rPr>
        <w:t xml:space="preserve"> директора - Главн</w:t>
      </w:r>
      <w:r>
        <w:rPr>
          <w:sz w:val="24"/>
          <w:szCs w:val="24"/>
        </w:rPr>
        <w:t>ый</w:t>
      </w:r>
      <w:r>
        <w:rPr>
          <w:sz w:val="24"/>
          <w:szCs w:val="24"/>
        </w:rPr>
        <w:t xml:space="preserve"> инженер _______________ </w:t>
      </w:r>
      <w:r>
        <w:rPr>
          <w:sz w:val="24"/>
          <w:szCs w:val="24"/>
        </w:rPr>
        <w:t>Сальников Э.В.</w:t>
      </w:r>
      <w:r>
        <w:rPr>
          <w:sz w:val="24"/>
          <w:szCs w:val="24"/>
        </w:rPr>
        <w:t xml:space="preserve">                                                      Дата </w:t>
      </w:r>
      <w:r>
        <w:rPr>
          <w:sz w:val="24"/>
          <w:szCs w:val="24"/>
          <w:u w:val="single"/>
          <w:lang w:val="en-US"/>
        </w:rPr>
        <w:t>08</w:t>
      </w:r>
      <w:r>
        <w:rPr>
          <w:sz w:val="24"/>
          <w:szCs w:val="24"/>
          <w:u w:val="single"/>
        </w:rPr>
        <w:t>.</w:t>
      </w:r>
      <w:r>
        <w:rPr>
          <w:sz w:val="24"/>
          <w:szCs w:val="24"/>
          <w:u w:val="single"/>
        </w:rPr>
        <w:t>09</w:t>
      </w:r>
      <w:r>
        <w:rPr>
          <w:sz w:val="24"/>
          <w:szCs w:val="24"/>
          <w:u w:val="single"/>
        </w:rPr>
        <w:t>.202</w:t>
      </w:r>
      <w:r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>г.</w:t>
      </w:r>
    </w:p>
    <w:sectPr>
      <w:type w:val="nextPage"/>
      <w:pgSz w:orient="landscape" w:w="16838" w:h="11906"/>
      <w:pgMar w:left="1134" w:right="1134" w:gutter="0" w:header="0" w:top="1135" w:footer="0" w:bottom="850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u w:val="none"/>
        <w:b w:val="false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411"/>
        </w:tabs>
        <w:ind w:left="2411" w:hanging="851"/>
      </w:pPr>
      <w:rPr>
        <w:dstrike w:val="false"/>
        <w:strike w:val="false"/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2269"/>
        </w:tabs>
        <w:ind w:left="2269" w:hanging="567"/>
      </w:pPr>
      <w:rPr>
        <w:b w:val="false"/>
      </w:rPr>
    </w:lvl>
    <w:lvl w:ilvl="4">
      <w:start w:val="1"/>
      <w:numFmt w:val="russianLower"/>
      <w:lvlText w:val="%5)"/>
      <w:lvlJc w:val="left"/>
      <w:pPr>
        <w:tabs>
          <w:tab w:val="num" w:pos="1576"/>
        </w:tabs>
        <w:ind w:left="1576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60120"/>
    <w:pPr>
      <w:widowControl/>
      <w:suppressAutoHyphens w:val="true"/>
      <w:bidi w:val="0"/>
      <w:spacing w:lineRule="auto" w:line="360" w:before="0" w:after="0"/>
      <w:ind w:firstLine="851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qFormat/>
    <w:rsid w:val="00ba5191"/>
    <w:pPr>
      <w:keepNext w:val="true"/>
      <w:numPr>
        <w:ilvl w:val="0"/>
        <w:numId w:val="2"/>
      </w:numPr>
      <w:jc w:val="center"/>
      <w:outlineLvl w:val="0"/>
    </w:pPr>
    <w:rPr>
      <w:b/>
      <w:bCs/>
      <w:sz w:val="36"/>
      <w:szCs w:val="24"/>
    </w:rPr>
  </w:style>
  <w:style w:type="paragraph" w:styleId="Heading2">
    <w:name w:val="Heading 2"/>
    <w:basedOn w:val="Normal"/>
    <w:next w:val="Normal"/>
    <w:link w:val="2"/>
    <w:qFormat/>
    <w:rsid w:val="00ba5191"/>
    <w:pPr>
      <w:keepNext w:val="true"/>
      <w:jc w:val="center"/>
      <w:outlineLvl w:val="1"/>
    </w:pPr>
    <w:rPr>
      <w:szCs w:val="24"/>
    </w:rPr>
  </w:style>
  <w:style w:type="paragraph" w:styleId="Heading4">
    <w:name w:val="Heading 4"/>
    <w:basedOn w:val="Normal"/>
    <w:next w:val="Normal"/>
    <w:link w:val="4"/>
    <w:semiHidden/>
    <w:unhideWhenUsed/>
    <w:qFormat/>
    <w:rsid w:val="00ba5191"/>
    <w:pPr>
      <w:keepNext w:val="true"/>
      <w:spacing w:before="240" w:after="60"/>
      <w:outlineLvl w:val="3"/>
    </w:pPr>
    <w:rPr>
      <w:rFonts w:ascii="Calibri" w:hAnsi="Calibri"/>
      <w:b/>
      <w:bCs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ba5191"/>
    <w:rPr>
      <w:b/>
      <w:bCs/>
      <w:sz w:val="36"/>
      <w:szCs w:val="24"/>
      <w:lang w:eastAsia="ru-RU"/>
    </w:rPr>
  </w:style>
  <w:style w:type="character" w:styleId="2" w:customStyle="1">
    <w:name w:val="Заголовок 2 Знак"/>
    <w:basedOn w:val="DefaultParagraphFont"/>
    <w:qFormat/>
    <w:rsid w:val="00ba5191"/>
    <w:rPr>
      <w:sz w:val="28"/>
      <w:szCs w:val="24"/>
      <w:lang w:eastAsia="ru-RU"/>
    </w:rPr>
  </w:style>
  <w:style w:type="character" w:styleId="4" w:customStyle="1">
    <w:name w:val="Заголовок 4 Знак"/>
    <w:semiHidden/>
    <w:qFormat/>
    <w:rsid w:val="00ba5191"/>
    <w:rPr>
      <w:rFonts w:ascii="Calibri" w:hAnsi="Calibri"/>
      <w:b/>
      <w:bCs/>
      <w:sz w:val="28"/>
      <w:szCs w:val="28"/>
    </w:rPr>
  </w:style>
  <w:style w:type="character" w:styleId="11" w:customStyle="1">
    <w:name w:val="Заголовок Знак1"/>
    <w:uiPriority w:val="10"/>
    <w:qFormat/>
    <w:rsid w:val="00ba5191"/>
    <w:rPr>
      <w:sz w:val="28"/>
      <w:szCs w:val="28"/>
    </w:rPr>
  </w:style>
  <w:style w:type="character" w:styleId="Style6" w:customStyle="1">
    <w:name w:val="Заголовок Знак"/>
    <w:basedOn w:val="DefaultParagraphFont"/>
    <w:link w:val="12"/>
    <w:qFormat/>
    <w:rsid w:val="00887537"/>
    <w:rPr>
      <w:b/>
      <w:sz w:val="28"/>
      <w:szCs w:val="28"/>
      <w:lang w:eastAsia="ru-RU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b026e7"/>
    <w:rPr>
      <w:rFonts w:ascii="Segoe UI" w:hAnsi="Segoe UI" w:cs="Segoe UI"/>
      <w:sz w:val="18"/>
      <w:szCs w:val="18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link w:val="11"/>
    <w:uiPriority w:val="10"/>
    <w:qFormat/>
    <w:rsid w:val="00ba5191"/>
    <w:pPr>
      <w:jc w:val="center"/>
    </w:pPr>
    <w:rPr>
      <w:lang w:eastAsia="en-U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TOC1">
    <w:name w:val="TOC 1"/>
    <w:basedOn w:val="Normal"/>
    <w:next w:val="Normal"/>
    <w:autoRedefine/>
    <w:uiPriority w:val="39"/>
    <w:qFormat/>
    <w:rsid w:val="00ba5191"/>
    <w:pPr>
      <w:tabs>
        <w:tab w:val="clear" w:pos="708"/>
        <w:tab w:val="left" w:pos="426" w:leader="none"/>
        <w:tab w:val="right" w:pos="9345" w:leader="dot"/>
      </w:tabs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uiPriority w:val="39"/>
    <w:qFormat/>
    <w:rsid w:val="00ba5191"/>
    <w:pPr>
      <w:ind w:left="280" w:firstLine="851"/>
    </w:pPr>
    <w:rPr/>
  </w:style>
  <w:style w:type="paragraph" w:styleId="TOC3">
    <w:name w:val="TOC 3"/>
    <w:basedOn w:val="Normal"/>
    <w:next w:val="Normal"/>
    <w:autoRedefine/>
    <w:uiPriority w:val="39"/>
    <w:unhideWhenUsed/>
    <w:qFormat/>
    <w:rsid w:val="00ba5191"/>
    <w:pPr>
      <w:spacing w:lineRule="auto" w:line="276" w:before="0" w:after="100"/>
      <w:ind w:left="440" w:firstLine="851"/>
    </w:pPr>
    <w:rPr>
      <w:rFonts w:ascii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ba5191"/>
    <w:pPr>
      <w:spacing w:before="0" w:after="0"/>
      <w:ind w:left="720" w:firstLine="851"/>
      <w:contextualSpacing/>
    </w:pPr>
    <w:rPr>
      <w:rFonts w:ascii="Calibri" w:hAnsi="Calibri"/>
      <w:sz w:val="24"/>
      <w:szCs w:val="24"/>
      <w:lang w:eastAsia="en-US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5191"/>
    <w:pPr>
      <w:keepLines/>
      <w:numPr>
        <w:ilvl w:val="0"/>
        <w:numId w:val="0"/>
      </w:numPr>
      <w:spacing w:lineRule="auto" w:line="276" w:before="480" w:after="0"/>
      <w:ind w:firstLine="851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styleId="12" w:customStyle="1">
    <w:name w:val="Заголовок1"/>
    <w:basedOn w:val="Normal"/>
    <w:link w:val="Style6"/>
    <w:qFormat/>
    <w:rsid w:val="00887537"/>
    <w:pPr>
      <w:numPr>
        <w:ilvl w:val="0"/>
        <w:numId w:val="3"/>
      </w:numPr>
      <w:spacing w:before="240" w:after="0"/>
      <w:jc w:val="center"/>
    </w:pPr>
    <w:rPr>
      <w:b/>
      <w:szCs w:val="28"/>
    </w:rPr>
  </w:style>
  <w:style w:type="paragraph" w:styleId="Style10" w:customStyle="1">
    <w:name w:val="русгидро п.п.п.п."/>
    <w:basedOn w:val="Normal"/>
    <w:qFormat/>
    <w:rsid w:val="00887537"/>
    <w:pPr>
      <w:numPr>
        <w:ilvl w:val="3"/>
        <w:numId w:val="3"/>
      </w:numPr>
      <w:tabs>
        <w:tab w:val="clear" w:pos="708"/>
        <w:tab w:val="left" w:pos="1843" w:leader="none"/>
      </w:tabs>
      <w:spacing w:lineRule="auto" w:line="240"/>
    </w:pPr>
    <w:rPr>
      <w:szCs w:val="28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b026e7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yle1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 w:customStyle="1">
    <w:name w:val="Заголовок таблицы"/>
    <w:basedOn w:val="Style1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2"/>
    <w:uiPriority w:val="39"/>
    <w:rsid w:val="00d70a78"/>
    <w:rPr>
      <w:rFonts w:asciiTheme="minorHAnsi" w:hAnsiTheme="minorHAnsi" w:eastAsiaTheme="minorHAnsi" w:cstheme="minorBid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21993-0965-4998-811F-02C5F29E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Application>AlterOffice/3.4.0.9$Linux_X86_64 LibreOffice_project/b8daf9e823b1a5463a2f48435ddc2e8696e7d4fc</Application>
  <AppVersion>15.0000</AppVersion>
  <Pages>8</Pages>
  <Words>1279</Words>
  <Characters>7879</Characters>
  <CharactersWithSpaces>9067</CharactersWithSpaces>
  <Paragraphs>183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2025-12-17T10:22:00Z</dcterms:created>
  <dc:creator>Стрельников Антон Александрович</dc:creator>
  <dc:description/>
  <dc:language>ru-RU</dc:language>
  <cp:lastModifiedBy>bannikovae@corp.gidroogk.com</cp:lastModifiedBy>
  <cp:lastPrinted>2026-09-08T13:38:39Z</cp:lastPrinted>
  <dcterms:modified xsi:type="dcterms:W3CDTF">2026-09-08T13:38:43Z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